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6" w:rsidRDefault="00BE5646" w:rsidP="00BE5646">
      <w:pPr>
        <w:pStyle w:val="a3"/>
        <w:tabs>
          <w:tab w:val="left" w:pos="5740"/>
        </w:tabs>
        <w:ind w:left="1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17145</wp:posOffset>
            </wp:positionV>
            <wp:extent cx="81915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1098" y="20742"/>
                <wp:lineTo x="21098" y="0"/>
                <wp:lineTo x="0" y="0"/>
              </wp:wrapPolygon>
            </wp:wrapThrough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646" w:rsidRPr="00182775" w:rsidRDefault="00BE564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sz w:val="22"/>
          <w:szCs w:val="22"/>
        </w:rPr>
      </w:pPr>
      <w:r w:rsidRPr="00182775">
        <w:rPr>
          <w:rStyle w:val="a5"/>
          <w:rFonts w:hint="cs"/>
          <w:color w:val="FF0000"/>
          <w:cs/>
        </w:rPr>
        <w:t>จดหมายข่าว</w:t>
      </w:r>
      <w:r>
        <w:rPr>
          <w:rFonts w:ascii="TH SarabunIT๙" w:hAnsi="TH SarabunIT๙" w:cs="TH SarabunIT๙" w:hint="cs"/>
          <w:cs/>
        </w:rPr>
        <w:t xml:space="preserve"> </w:t>
      </w:r>
      <w:r w:rsidRPr="00182775">
        <w:rPr>
          <w:rFonts w:ascii="TH SarabunIT๙" w:hAnsi="TH SarabunIT๙" w:cs="TH SarabunIT๙" w:hint="cs"/>
          <w:sz w:val="24"/>
          <w:szCs w:val="24"/>
          <w:cs/>
        </w:rPr>
        <w:t>องค์การบริหารส่วนตำบลกรุงชิง อ.</w:t>
      </w:r>
      <w:proofErr w:type="spellStart"/>
      <w:r w:rsidRPr="00182775">
        <w:rPr>
          <w:rFonts w:ascii="TH SarabunIT๙" w:hAnsi="TH SarabunIT๙" w:cs="TH SarabunIT๙" w:hint="cs"/>
          <w:sz w:val="24"/>
          <w:szCs w:val="24"/>
          <w:cs/>
        </w:rPr>
        <w:t>นบพิ</w:t>
      </w:r>
      <w:proofErr w:type="spellEnd"/>
      <w:r w:rsidRPr="00182775">
        <w:rPr>
          <w:rFonts w:ascii="TH SarabunIT๙" w:hAnsi="TH SarabunIT๙" w:cs="TH SarabunIT๙" w:hint="cs"/>
          <w:sz w:val="24"/>
          <w:szCs w:val="24"/>
          <w:cs/>
        </w:rPr>
        <w:t xml:space="preserve">ตำ จ.นครศรีธรรมราช </w:t>
      </w:r>
      <w:r w:rsidRPr="00182775">
        <w:rPr>
          <w:rFonts w:ascii="TH SarabunIT๙" w:hAnsi="TH SarabunIT๙" w:cs="TH SarabunIT๙"/>
          <w:sz w:val="24"/>
          <w:szCs w:val="24"/>
        </w:rPr>
        <w:t xml:space="preserve">80160 </w:t>
      </w:r>
      <w:r w:rsidRPr="00182775">
        <w:rPr>
          <w:rFonts w:ascii="TH SarabunIT๙" w:hAnsi="TH SarabunIT๙" w:cs="TH SarabunIT๙" w:hint="cs"/>
          <w:sz w:val="24"/>
          <w:szCs w:val="24"/>
          <w:cs/>
        </w:rPr>
        <w:t xml:space="preserve">ฉบับที่ </w:t>
      </w:r>
      <w:r w:rsidRPr="00182775">
        <w:rPr>
          <w:rFonts w:ascii="TH SarabunIT๙" w:hAnsi="TH SarabunIT๙" w:cs="TH SarabunIT๙"/>
          <w:sz w:val="24"/>
          <w:szCs w:val="24"/>
        </w:rPr>
        <w:t>2</w:t>
      </w:r>
    </w:p>
    <w:p w:rsidR="00BE5646" w:rsidRPr="00182775" w:rsidRDefault="00BE5646" w:rsidP="00BE5646">
      <w:pPr>
        <w:pStyle w:val="a3"/>
        <w:tabs>
          <w:tab w:val="left" w:pos="5740"/>
        </w:tabs>
        <w:ind w:left="140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 w:rsidRPr="00182775">
        <w:rPr>
          <w:rFonts w:ascii="TH SarabunIT๙" w:hAnsi="TH SarabunIT๙" w:cs="TH SarabunIT๙" w:hint="cs"/>
          <w:sz w:val="28"/>
          <w:szCs w:val="28"/>
          <w:cs/>
        </w:rPr>
        <w:t>สรุปเรื่องที่รัฐมนตรีว่าการกระทรวงมหาดไทยเห็นชอบ</w:t>
      </w:r>
    </w:p>
    <w:p w:rsidR="00BE5646" w:rsidRDefault="00BE564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BE5646" w:rsidRPr="00F956F5" w:rsidRDefault="00BE564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75396">
        <w:rPr>
          <w:rFonts w:ascii="TH SarabunIT๙" w:hAnsi="TH SarabunIT๙" w:cs="TH SarabunIT๙" w:hint="cs"/>
          <w:sz w:val="28"/>
          <w:szCs w:val="28"/>
          <w:cs/>
        </w:rPr>
        <w:t>ให้ขยายกำหนดเวลาดำเนินการตามพระราชบัญญัติภาษีที่ดินและสิ่งปลูกสร้าง พ.ศ.</w:t>
      </w:r>
      <w:r w:rsidRPr="00275396">
        <w:rPr>
          <w:rFonts w:ascii="TH SarabunIT๙" w:hAnsi="TH SarabunIT๙" w:cs="TH SarabunIT๙"/>
          <w:sz w:val="28"/>
          <w:szCs w:val="28"/>
        </w:rPr>
        <w:t xml:space="preserve">2562 </w:t>
      </w:r>
      <w:r w:rsidRPr="00275396">
        <w:rPr>
          <w:rFonts w:ascii="TH SarabunIT๙" w:hAnsi="TH SarabunIT๙" w:cs="TH SarabunIT๙" w:hint="cs"/>
          <w:sz w:val="28"/>
          <w:szCs w:val="28"/>
          <w:cs/>
        </w:rPr>
        <w:t>เป็นการทั่วไปเฉพาะการจัดเก็บภาษี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275396">
        <w:rPr>
          <w:rFonts w:ascii="TH SarabunIT๙" w:hAnsi="TH SarabunIT๙" w:cs="TH SarabunIT๙" w:hint="cs"/>
          <w:sz w:val="28"/>
          <w:szCs w:val="28"/>
          <w:cs/>
        </w:rPr>
        <w:t>ในปี พ.ศ.</w:t>
      </w:r>
      <w:r w:rsidRPr="00275396">
        <w:rPr>
          <w:rFonts w:ascii="TH SarabunIT๙" w:hAnsi="TH SarabunIT๙" w:cs="TH SarabunIT๙"/>
          <w:sz w:val="28"/>
          <w:szCs w:val="28"/>
        </w:rPr>
        <w:t>2563</w:t>
      </w:r>
    </w:p>
    <w:p w:rsidR="00BE5646" w:rsidRDefault="00BE5646" w:rsidP="00BE5646">
      <w:pPr>
        <w:pStyle w:val="a3"/>
        <w:tabs>
          <w:tab w:val="left" w:pos="900"/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21"/>
        <w:gridCol w:w="1290"/>
        <w:gridCol w:w="1935"/>
        <w:gridCol w:w="1259"/>
        <w:gridCol w:w="2282"/>
      </w:tblGrid>
      <w:tr w:rsidR="00BE5646" w:rsidRPr="00275396" w:rsidTr="00F52974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ผู้มีหน้าที่ต้องปฏิบัติ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ข้อกฎหมาย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ระยะเวลาตามกฎหมาย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5646" w:rsidRPr="00275396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396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ระยะเวลาที่ขยาย</w:t>
            </w:r>
          </w:p>
        </w:tc>
      </w:tr>
      <w:tr w:rsidR="00BE5646" w:rsidRPr="007619DD" w:rsidTr="00F52974">
        <w:trPr>
          <w:trHeight w:val="563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การจัดทำบัญชีรายการที่ดินและสิ่งปลูกสร้างเพื่อประกาศ พร้อมทั้งจัดส่งข้อมูลที่เกี่ยวข้องให้ผู้เสียภาษีแต่ละรายทราบ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30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.ระเบียบกระทรวงมหาดไทยว่าด้วยการดำเนินการตามพระราชบัญญัติภาษีที่ดินและสิ่งปลูกสร้าง พ.ศ.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ข้อ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ภายในเดือนพฤศจิกายน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2562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ภายในเดือนมีนาคม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  <w:tr w:rsidR="00BE5646" w:rsidRPr="007619DD" w:rsidTr="00F52974">
        <w:trPr>
          <w:trHeight w:val="543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39</w:t>
            </w:r>
          </w:p>
          <w:p w:rsidR="00BE5646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.ร่างกฎกระทรวงกำหนดหลักเกณฑ์และวิธีการประกาศราคาประเมินทุนทรัพย์ อัตราภาษี และรายละเอียดอื่นในการจัดเก็บภาษีที่ดินและสิ่งปลูกสร้าง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2562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ข้อ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ก่อนวันที่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ก่อนวันที่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 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มิถุนายน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  <w:tr w:rsidR="00BE5646" w:rsidRPr="007619DD" w:rsidTr="00F52974">
        <w:trPr>
          <w:trHeight w:val="543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การแจ้งการประเมินภาษีโดยส่งแบบประเมินภาษีให้แก่ผู้เสียภาษี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44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.ประกาศกระทรวงมหาดไทย เรื่องการดำเนินการตามพระราชบัญญัติภาษีที่ดินและสิ่งปลูกสร้าง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ข้อ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ภายในเดือนกุมภาพันธ์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ภายในเดือนมิถุนายน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  <w:tr w:rsidR="00BE5646" w:rsidRPr="007619DD" w:rsidTr="00F52974">
        <w:trPr>
          <w:trHeight w:val="707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การชำระภาษีตามแบบแจ้งการประเมินภาษี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ผู้มีหน้าที่เสียภาษี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46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ภายในเดือนเมษายน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ภายในเดือนสิงหาคม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  <w:tr w:rsidR="00BE5646" w:rsidRPr="007619DD" w:rsidTr="00F52974">
        <w:trPr>
          <w:trHeight w:val="776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การผ่อนชำระภาษีที่ดินและสิ่งปลูกสร้าง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ผู้มีหน้าที่เสียภาษี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วรรคสอง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.ร่างกฎกระทรวงการผ่อนชำระภาษีที่ดินและสิ่งปลูกสร้าง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ข้อ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) งวดที่หนึ่ง ภายในเดือน เมษายน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)งวดที่สอง ภายในเดือน พฤษภาคม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)งวดที่สาม ภายในเดือนมิถุนายน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งวดที่หนึ่ง ภายในเดือน สิงหาคม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  <w:t xml:space="preserve">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งวดที่สองภายในเดือน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กันยายน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งวดที่สามภายในเดือน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ตุลาคม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</w:tc>
      </w:tr>
      <w:tr w:rsidR="00BE5646" w:rsidRPr="007619DD" w:rsidTr="00F52974">
        <w:trPr>
          <w:trHeight w:val="776"/>
        </w:trPr>
        <w:tc>
          <w:tcPr>
            <w:tcW w:w="567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t>ผู้มีหน้าที่ต้องปฏิบัติ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t>ข้อกฎหมาย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ระยะเวลาตามกฎหมาย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ระยะเวลาที่ขยาย</w:t>
            </w:r>
          </w:p>
        </w:tc>
      </w:tr>
      <w:tr w:rsidR="00BE5646" w:rsidRPr="007619DD" w:rsidTr="00F52974">
        <w:trPr>
          <w:trHeight w:val="776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การมีหนังสือแจ้งเตือนผู้เสียภาษีที่มีภาษีค้างชำระ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ภายในเดือนพฤษภาคม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ภายในเดือนกันยายน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  <w:tr w:rsidR="00BE5646" w:rsidRPr="007619DD" w:rsidTr="00F52974">
        <w:trPr>
          <w:trHeight w:val="776"/>
        </w:trPr>
        <w:tc>
          <w:tcPr>
            <w:tcW w:w="567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การแจ้งรายการภาษีที่ค้างชำระให้สำนักงานที่ดินหรือสำนักงานที่ดินสาขา</w:t>
            </w:r>
          </w:p>
        </w:tc>
        <w:tc>
          <w:tcPr>
            <w:tcW w:w="1290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องค์กรปกครองส่วนท้องถิ่น</w:t>
            </w:r>
          </w:p>
        </w:tc>
        <w:tc>
          <w:tcPr>
            <w:tcW w:w="1935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พระราชบัญญัติภาษีที่ดินและสิ่งปลูกสร้าง พ.ศ.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2562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มาตรา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1259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ภายในเดือนมิถุนายน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  <w:tc>
          <w:tcPr>
            <w:tcW w:w="2282" w:type="dxa"/>
            <w:shd w:val="clear" w:color="auto" w:fill="auto"/>
          </w:tcPr>
          <w:p w:rsidR="00BE5646" w:rsidRPr="007619DD" w:rsidRDefault="00BE5646" w:rsidP="007A7B36">
            <w:pPr>
              <w:pStyle w:val="a3"/>
              <w:tabs>
                <w:tab w:val="left" w:pos="900"/>
                <w:tab w:val="left" w:pos="574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ภายในเดือนตุลาคม </w:t>
            </w:r>
            <w:r w:rsidRPr="007619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2563</w:t>
            </w:r>
          </w:p>
        </w:tc>
      </w:tr>
    </w:tbl>
    <w:p w:rsidR="00BE5646" w:rsidRDefault="00BE5646" w:rsidP="00BE5646">
      <w:pPr>
        <w:pStyle w:val="a3"/>
        <w:tabs>
          <w:tab w:val="left" w:pos="900"/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BE5646" w:rsidRPr="009152F3" w:rsidRDefault="00BE5646" w:rsidP="00BE5646">
      <w:pPr>
        <w:pStyle w:val="a3"/>
        <w:tabs>
          <w:tab w:val="left" w:pos="900"/>
          <w:tab w:val="left" w:pos="5740"/>
        </w:tabs>
        <w:ind w:left="140"/>
        <w:rPr>
          <w:rFonts w:ascii="TH SarabunIT๙" w:hAnsi="TH SarabunIT๙" w:cs="TH SarabunIT๙" w:hint="cs"/>
          <w:b w:val="0"/>
          <w:bCs w:val="0"/>
          <w:sz w:val="16"/>
          <w:szCs w:val="16"/>
        </w:rPr>
      </w:pPr>
    </w:p>
    <w:p w:rsidR="00BE5646" w:rsidRPr="003E6F35" w:rsidRDefault="00BE564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8"/>
          <w:szCs w:val="8"/>
        </w:rPr>
      </w:pPr>
    </w:p>
    <w:p w:rsidR="00BE5646" w:rsidRDefault="00BE564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3E6F3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              </w:t>
      </w:r>
    </w:p>
    <w:p w:rsidR="00A85306" w:rsidRDefault="00A85306" w:rsidP="00BE5646">
      <w:pPr>
        <w:pStyle w:val="a3"/>
        <w:tabs>
          <w:tab w:val="left" w:pos="5740"/>
        </w:tabs>
        <w:ind w:left="140"/>
        <w:rPr>
          <w:rFonts w:ascii="TH SarabunIT๙" w:hAnsi="TH SarabunIT๙" w:cs="TH SarabunIT๙"/>
          <w:b w:val="0"/>
          <w:bCs w:val="0"/>
          <w:sz w:val="30"/>
          <w:szCs w:val="30"/>
        </w:rPr>
      </w:pPr>
      <w:bookmarkStart w:id="0" w:name="_GoBack"/>
      <w:bookmarkEnd w:id="0"/>
    </w:p>
    <w:p w:rsidR="00BE5646" w:rsidRDefault="00BE5646" w:rsidP="00BE5646">
      <w:pPr>
        <w:pStyle w:val="a3"/>
        <w:tabs>
          <w:tab w:val="left" w:pos="5740"/>
        </w:tabs>
        <w:ind w:left="140"/>
        <w:jc w:val="center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BE5646" w:rsidRDefault="00BE5646" w:rsidP="00BE5646">
      <w:pPr>
        <w:pStyle w:val="a3"/>
        <w:tabs>
          <w:tab w:val="left" w:pos="5740"/>
        </w:tabs>
        <w:ind w:left="140"/>
        <w:jc w:val="center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BE5646" w:rsidRPr="007619DD" w:rsidRDefault="00BE5646" w:rsidP="00BE5646">
      <w:pPr>
        <w:pBdr>
          <w:bottom w:val="single" w:sz="8" w:space="4" w:color="4F81BD"/>
        </w:pBdr>
        <w:spacing w:after="300"/>
        <w:contextualSpacing/>
        <w:rPr>
          <w:rFonts w:ascii="Cambria" w:eastAsia="Times New Roman" w:hAnsi="Cambria"/>
          <w:i/>
          <w:iCs/>
          <w:color w:val="17365D"/>
          <w:spacing w:val="5"/>
          <w:kern w:val="28"/>
          <w:sz w:val="52"/>
          <w:szCs w:val="66"/>
        </w:rPr>
      </w:pPr>
      <w:r w:rsidRPr="007619DD">
        <w:rPr>
          <w:rFonts w:ascii="Cambria" w:eastAsia="Times New Roman" w:hAnsi="Cambria" w:hint="cs"/>
          <w:i/>
          <w:iCs/>
          <w:color w:val="17365D"/>
          <w:spacing w:val="5"/>
          <w:kern w:val="28"/>
          <w:sz w:val="52"/>
          <w:szCs w:val="66"/>
          <w:cs/>
        </w:rPr>
        <w:t>อย่าลืมมาชำระภาษีกันเยอะๆนะคะ</w:t>
      </w:r>
    </w:p>
    <w:p w:rsidR="00BE5646" w:rsidRPr="007619DD" w:rsidRDefault="00BE5646" w:rsidP="00BE5646">
      <w:pPr>
        <w:pBdr>
          <w:bottom w:val="single" w:sz="8" w:space="4" w:color="4F81BD"/>
        </w:pBdr>
        <w:spacing w:after="300"/>
        <w:contextualSpacing/>
        <w:rPr>
          <w:rFonts w:ascii="Cambria" w:eastAsia="Times New Roman" w:hAnsi="Cambria"/>
          <w:i/>
          <w:iCs/>
          <w:color w:val="17365D"/>
          <w:spacing w:val="5"/>
          <w:kern w:val="28"/>
          <w:sz w:val="52"/>
          <w:szCs w:val="66"/>
        </w:rPr>
      </w:pPr>
      <w:r w:rsidRPr="007619DD">
        <w:rPr>
          <w:rFonts w:ascii="Cambria" w:eastAsia="Times New Roman" w:hAnsi="Cambria" w:hint="cs"/>
          <w:i/>
          <w:iCs/>
          <w:color w:val="17365D"/>
          <w:spacing w:val="5"/>
          <w:kern w:val="28"/>
          <w:sz w:val="52"/>
          <w:szCs w:val="66"/>
          <w:cs/>
        </w:rPr>
        <w:t>เพื่อพัฒนาท้องถิ่นของเรา</w:t>
      </w:r>
    </w:p>
    <w:p w:rsidR="00BE5646" w:rsidRPr="007619DD" w:rsidRDefault="00BE5646" w:rsidP="00BE5646">
      <w:pPr>
        <w:spacing w:after="200" w:line="276" w:lineRule="auto"/>
        <w:rPr>
          <w:rFonts w:ascii="Symbol" w:eastAsia="Calibri" w:hAnsi="Symbol" w:cs="Cordia New"/>
          <w:color w:val="FF0000"/>
          <w:sz w:val="44"/>
          <w:szCs w:val="44"/>
        </w:rPr>
      </w:pPr>
      <w:r w:rsidRPr="007619DD">
        <w:rPr>
          <w:rFonts w:ascii="Symbol" w:eastAsia="Calibri" w:hAnsi="Symbol" w:cs="Cordia New" w:hint="cs"/>
          <w:b/>
          <w:bCs/>
          <w:color w:val="FF0000"/>
          <w:sz w:val="44"/>
          <w:szCs w:val="44"/>
          <w:cs/>
        </w:rPr>
        <w:t>จัดทำโดย</w:t>
      </w:r>
      <w:r w:rsidRPr="007619DD">
        <w:rPr>
          <w:rFonts w:ascii="Symbol" w:eastAsia="Calibri" w:hAnsi="Symbol" w:cs="Cordia New" w:hint="cs"/>
          <w:color w:val="FF0000"/>
          <w:sz w:val="44"/>
          <w:szCs w:val="44"/>
          <w:cs/>
        </w:rPr>
        <w:t xml:space="preserve"> 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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</w:t>
      </w:r>
      <w:r w:rsidRPr="007619DD">
        <w:rPr>
          <w:rFonts w:ascii="Symbol" w:eastAsia="Calibri" w:hAnsi="Symbol" w:cs="Cordia New" w:hint="cs"/>
          <w:color w:val="FF0000"/>
          <w:sz w:val="40"/>
          <w:szCs w:val="40"/>
          <w:cs/>
        </w:rPr>
        <w:t>งานพัฒนาและจัดเก็บรายได้ กองคลัง องค์การบริหารส่วนตำบลกรุงชิง</w:t>
      </w:r>
      <w:r w:rsidRPr="007619DD">
        <w:rPr>
          <w:rFonts w:ascii="Symbol" w:eastAsia="Calibri" w:hAnsi="Symbol" w:cs="Cordia New" w:hint="cs"/>
          <w:color w:val="FF0000"/>
          <w:sz w:val="44"/>
          <w:szCs w:val="44"/>
          <w:cs/>
        </w:rPr>
        <w:t xml:space="preserve">  </w:t>
      </w:r>
    </w:p>
    <w:p w:rsidR="00BE5646" w:rsidRPr="007619DD" w:rsidRDefault="00BE5646" w:rsidP="00BE5646">
      <w:pPr>
        <w:spacing w:after="200" w:line="276" w:lineRule="auto"/>
        <w:rPr>
          <w:rFonts w:ascii="Calibri" w:eastAsia="Calibri" w:hAnsi="Calibri" w:cs="Cordia New"/>
          <w:sz w:val="22"/>
        </w:rPr>
      </w:pPr>
      <w:r w:rsidRPr="007619DD">
        <w:rPr>
          <w:rFonts w:ascii="Symbol" w:eastAsia="Calibri" w:hAnsi="Symbol" w:cs="Cordia New" w:hint="cs"/>
          <w:color w:val="FF0000"/>
          <w:sz w:val="44"/>
          <w:szCs w:val="44"/>
          <w:cs/>
        </w:rPr>
        <w:t xml:space="preserve"> โทร 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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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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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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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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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</w:t>
      </w:r>
      <w:r w:rsidRPr="007619DD">
        <w:rPr>
          <w:rFonts w:ascii="Symbol" w:eastAsia="Calibri" w:hAnsi="Symbol" w:cs="Cordia New"/>
          <w:color w:val="FF0000"/>
          <w:sz w:val="44"/>
          <w:szCs w:val="44"/>
        </w:rPr>
        <w:t></w:t>
      </w:r>
    </w:p>
    <w:p w:rsidR="00552E96" w:rsidRDefault="00552E96"/>
    <w:sectPr w:rsidR="00552E96" w:rsidSect="00BE564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46"/>
    <w:rsid w:val="00552E96"/>
    <w:rsid w:val="00A85306"/>
    <w:rsid w:val="00BE5646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4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5646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BE5646"/>
    <w:rPr>
      <w:rFonts w:ascii="AngsanaUPC" w:eastAsia="Cordia New" w:hAnsi="AngsanaUPC" w:cs="AngsanaUPC"/>
      <w:b/>
      <w:bCs/>
      <w:sz w:val="36"/>
      <w:szCs w:val="36"/>
    </w:rPr>
  </w:style>
  <w:style w:type="character" w:styleId="a5">
    <w:name w:val="Emphasis"/>
    <w:basedOn w:val="a0"/>
    <w:qFormat/>
    <w:rsid w:val="00BE56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4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5646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BE5646"/>
    <w:rPr>
      <w:rFonts w:ascii="AngsanaUPC" w:eastAsia="Cordia New" w:hAnsi="AngsanaUPC" w:cs="AngsanaUPC"/>
      <w:b/>
      <w:bCs/>
      <w:sz w:val="36"/>
      <w:szCs w:val="36"/>
    </w:rPr>
  </w:style>
  <w:style w:type="character" w:styleId="a5">
    <w:name w:val="Emphasis"/>
    <w:basedOn w:val="a0"/>
    <w:qFormat/>
    <w:rsid w:val="00BE5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>Sky123.Org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2020-03-12T08:31:00Z</dcterms:created>
  <dcterms:modified xsi:type="dcterms:W3CDTF">2020-03-12T08:35:00Z</dcterms:modified>
</cp:coreProperties>
</file>